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rPr>
          <w:rFonts w:hint="eastAsia" w:ascii="黑体" w:hAnsi="黑体" w:eastAsia="黑体" w:cs="黑体"/>
          <w:b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zh-CN" w:eastAsia="zh-CN" w:bidi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 w:bidi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第八届水利行业现代数字教学资源大赛观测指标</w:t>
      </w:r>
    </w:p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  <w:r>
        <w:rPr>
          <w:rFonts w:ascii="Times New Roman" w:hAnsi="Times New Roman" w:eastAsia="黑体"/>
          <w:kern w:val="0"/>
          <w:sz w:val="28"/>
          <w:szCs w:val="28"/>
        </w:rPr>
        <w:t>（</w:t>
      </w:r>
      <w:r>
        <w:rPr>
          <w:rFonts w:hint="eastAsia" w:ascii="Times New Roman" w:hAnsi="Times New Roman" w:eastAsia="黑体"/>
          <w:kern w:val="0"/>
          <w:sz w:val="28"/>
          <w:szCs w:val="28"/>
          <w:lang w:val="en-US" w:eastAsia="zh-CN"/>
        </w:rPr>
        <w:t>一</w:t>
      </w:r>
      <w:r>
        <w:rPr>
          <w:rFonts w:ascii="Times New Roman" w:hAnsi="Times New Roman" w:eastAsia="黑体"/>
          <w:kern w:val="0"/>
          <w:sz w:val="28"/>
          <w:szCs w:val="28"/>
        </w:rPr>
        <w:t>）否定性指标</w:t>
      </w:r>
      <w:bookmarkStart w:id="0" w:name="_GoBack"/>
      <w:bookmarkEnd w:id="0"/>
    </w:p>
    <w:tbl>
      <w:tblPr>
        <w:tblStyle w:val="10"/>
        <w:tblW w:w="84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3938"/>
        <w:gridCol w:w="3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维度</w:t>
            </w: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具体指标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观测点及方式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课程资格</w:t>
            </w: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课程与推荐申报类型不符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查看教务系统截图，核实是否是专业人才培养方案的在线课程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开设时间或期数不符合申报要求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查看课程平台（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包括主要开课平台和其他开课平台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）运行情况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和提交的申报材料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，核实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课程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总学时是否不低于</w:t>
            </w:r>
            <w:r>
              <w:rPr>
                <w:rFonts w:hint="default" w:ascii="Times New Roman" w:hAnsi="Times New Roman" w:eastAsia="仿宋_GB2312" w:cs="Times New Roman"/>
                <w:kern w:val="0"/>
              </w:rPr>
              <w:t>32学时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以及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申报截止日期前是否完成至少两（学）期教学实践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教材选用不合规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查看提交的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材料，核实选用教材是否符合《职业院校教材管理办法》等有关要求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课程基本信息明显不一致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查看教务系统截图，重点比对课程名称、授课教师、学时等有关说明材料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课程线上教学资源、教学活动无法查看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课程含不安全外部链接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课程内容存在政治性、科学性、规范性问题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查看课程内容和有关材料，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核实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是否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存在意识形态问题或科学性问题，是否存在其他重大规范性问题。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教师资格</w:t>
            </w: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团队成员存在师德师风方面问题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团队成员政治审查意见”以及提交的有关材料是否合规，或举报属实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申报材料</w:t>
            </w: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申报材料造假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查看提交的材料，或举报属实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有侵权现象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查看课程内容和有关材料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，或举报属实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平台资格</w:t>
            </w:r>
          </w:p>
        </w:tc>
        <w:tc>
          <w:tcPr>
            <w:tcW w:w="3938" w:type="dxa"/>
            <w:shd w:val="clear" w:color="auto" w:fill="auto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工信部ICP网站备案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公安机关网站备案号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信息安全等级保护证书未达到三级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查看“提供的课程访问网址”和有关材料，或举报属实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。</w:t>
            </w:r>
          </w:p>
        </w:tc>
      </w:tr>
    </w:tbl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</w:p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</w:p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</w:p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  <w:r>
        <w:rPr>
          <w:rFonts w:ascii="Times New Roman" w:hAnsi="Times New Roman" w:eastAsia="黑体"/>
          <w:kern w:val="0"/>
          <w:sz w:val="28"/>
          <w:szCs w:val="28"/>
        </w:rPr>
        <w:t>（</w:t>
      </w:r>
      <w:r>
        <w:rPr>
          <w:rFonts w:hint="eastAsia" w:ascii="Times New Roman" w:hAnsi="Times New Roman" w:eastAsia="黑体"/>
          <w:kern w:val="0"/>
          <w:sz w:val="28"/>
          <w:szCs w:val="28"/>
          <w:lang w:val="en-US" w:eastAsia="zh-CN"/>
        </w:rPr>
        <w:t>二</w:t>
      </w:r>
      <w:r>
        <w:rPr>
          <w:rFonts w:ascii="Times New Roman" w:hAnsi="Times New Roman" w:eastAsia="黑体"/>
          <w:kern w:val="0"/>
          <w:sz w:val="28"/>
          <w:szCs w:val="28"/>
        </w:rPr>
        <w:t>）评议性指标</w:t>
      </w:r>
    </w:p>
    <w:tbl>
      <w:tblPr>
        <w:tblStyle w:val="10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249"/>
        <w:gridCol w:w="5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1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5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观测点及要求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授课教师团队</w:t>
            </w: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团队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构成与要求</w:t>
            </w:r>
          </w:p>
        </w:tc>
        <w:tc>
          <w:tcPr>
            <w:tcW w:w="5911" w:type="dxa"/>
            <w:shd w:val="clear" w:color="auto" w:fill="auto"/>
            <w:vAlign w:val="center"/>
          </w:tcPr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1.团队结构合理，师德师风优良，教学表现力和亲和力强，教学成果积累丰富，教学改革意识强，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数字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素养高。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2.课程负责人应具有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级及以上职称，具有丰富的教学经验和扎实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专业功底，在本专业领域具有一定影响力，同一课程负责人限牵头申报一门课程。专业课团队主要成员中应有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双师型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教师。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3.专业课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双师型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教师及行业企业兼职教师各具特色，团队主要成员须与课程平台显示人员基本一致，配备必要的助理教师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团队教学与建设</w:t>
            </w:r>
          </w:p>
        </w:tc>
        <w:tc>
          <w:tcPr>
            <w:tcW w:w="5911" w:type="dxa"/>
            <w:shd w:val="clear" w:color="auto" w:fill="auto"/>
            <w:vAlign w:val="center"/>
          </w:tcPr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1.团队拥有丰富教学经验，开展有关教学研究。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2.团队教学能力突出、教学成果显著，获得有关教学奖励。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课程设计</w:t>
            </w: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课程定位与目标</w:t>
            </w:r>
          </w:p>
        </w:tc>
        <w:tc>
          <w:tcPr>
            <w:tcW w:w="5911" w:type="dxa"/>
            <w:shd w:val="clear" w:color="auto" w:fill="auto"/>
            <w:vAlign w:val="center"/>
          </w:tcPr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1.落实立德树人根本任务，符合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  <w:lang w:val="en-US" w:eastAsia="zh-CN"/>
              </w:rPr>
              <w:t>职业教育国家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教学标准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人才培养方案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课程标准要求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，课程性质明确，与前、后接续课程衔接得当。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2.课程目标定位准确、条目清晰、内容具体、可评可测。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3.课程注重提升专业能力、掌握专业技能，培养学生职业道德、综合素养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课程结构与内容</w:t>
            </w:r>
          </w:p>
        </w:tc>
        <w:tc>
          <w:tcPr>
            <w:tcW w:w="5911" w:type="dxa"/>
            <w:vAlign w:val="center"/>
          </w:tcPr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1.课程内容组织与安排凸显职业教育类型特征，专业（技能）课程对接新产业、新业态、新模式、新职业，反映相关领域新方法、新技术、新工艺、新标准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体现行业企业参与特征，紧贴本专业相关技术领域职业岗位（群）的能力要求。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2.落实课程思政要求，结合不同课程特点、思维方法和价值理念，挖掘课程思政元素，有机融入课程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3.课程内容完整、结构合理、逻辑清晰，学习单元划分合理、衔接有序、教学学时分配合理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课程建设</w:t>
            </w: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基本信息与规范</w:t>
            </w:r>
          </w:p>
        </w:tc>
        <w:tc>
          <w:tcPr>
            <w:tcW w:w="5911" w:type="dxa"/>
            <w:vAlign w:val="center"/>
          </w:tcPr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1.课程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基本信息完整，课程页面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应包括课程介绍、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教学团队、教材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选用情况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相关辅助学习材料、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相关职业类证书等信息。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2.课程页面布局合理、信息量适度、色彩搭配协调。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3.导航清晰明确，符号规范。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语言文字、图片、地图等使用符合相关规定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资源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建设与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应用</w:t>
            </w:r>
          </w:p>
        </w:tc>
        <w:tc>
          <w:tcPr>
            <w:tcW w:w="5911" w:type="dxa"/>
            <w:vAlign w:val="center"/>
          </w:tcPr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1.课程资源以自主设计与开发为主，与课程内容相匹配、全覆盖，内在逻辑合理、内容完整精炼，能够满足学校教学和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学生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学习需求，做到能学辅教；体现课程思政建设要求，体现行业发展的前沿技术和最新成果。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2.课程内容丰富、形式多样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  <w:t>原创度高、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质量精良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  <w:t>符合大众审美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，针对各模块知识点或技能点设置对应的授课视频、动画、虚拟仿真、演示文稿等教学资源和测验、作业、考试等教学活动。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3.科学规划在线学习资源，动画、视频、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音频、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虚拟仿真等类型资源一般不少于30%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课程管理与保障</w:t>
            </w:r>
          </w:p>
        </w:tc>
        <w:tc>
          <w:tcPr>
            <w:tcW w:w="5911" w:type="dxa"/>
            <w:vAlign w:val="center"/>
          </w:tcPr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学校在线课程管理制度和机构健全，已出台在线课程教学管理办法，对课程选用、教学、评价、督导和学分认定等进行规范，做到线上与线下课程教学同管理、同要求，有支持在线课程建设和实施的激励制度，提供人员、经费等保障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2.重视知识产权等问题，与院校、企业、团队合作签署的知识产权保障协议（或书面约定）规范严谨、平等互利。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教材选用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规范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合理，符合有关规定。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引用资源规范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科学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，符合教学需求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课程实施</w:t>
            </w: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教学组织与安排</w:t>
            </w:r>
          </w:p>
        </w:tc>
        <w:tc>
          <w:tcPr>
            <w:tcW w:w="5911" w:type="dxa"/>
            <w:shd w:val="clear" w:color="auto" w:fill="auto"/>
          </w:tcPr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1.围绕学习任务，细化具体教学目标，合理把握教学进度、组织具体教学。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设计科学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，恰当进行课程导入，课程重点难点讲授准确全面，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方法恰当，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合理使用案例式、探究式等多种教学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方法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3.出镜教师教学过程中教仪教态自然大方，语言表达清晰、深入浅出，注重教学互动、激发学生学习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主动性、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积极性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教学活动与过程</w:t>
            </w:r>
          </w:p>
        </w:tc>
        <w:tc>
          <w:tcPr>
            <w:tcW w:w="5911" w:type="dxa"/>
            <w:shd w:val="clear" w:color="auto" w:fill="auto"/>
          </w:tcPr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1.各项教学活动完整、有效，教学过程可回溯，关注教与学全过程的信息采集，教学过程材料完整。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合理使用信息技术手段创新教学模式，教学过程突出学生中心，适合在线学习或混合式教学，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体现行动导向教学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能够激发学生学习兴趣和潜能。</w:t>
            </w:r>
          </w:p>
          <w:p>
            <w:pPr>
              <w:widowControl/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3.提供在线测试、即时在线反馈、作业提交和批改、网上社区讨论等学习支持服务，促进师生之间、学生之间进行资源共享、问题交流和协作学习，实现师生、生生的深度有效互动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学习考核与评价</w:t>
            </w:r>
          </w:p>
        </w:tc>
        <w:tc>
          <w:tcPr>
            <w:tcW w:w="5911" w:type="dxa"/>
            <w:shd w:val="clear" w:color="auto" w:fill="auto"/>
          </w:tcPr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1.建立多元化学习评价体系，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包括但不限于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结果评价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过程评价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增值评价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综合评价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。</w:t>
            </w:r>
          </w:p>
          <w:p>
            <w:pPr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2.探索基于大数据的信息采集分析，全程记录和跟踪教师的教学和学生学习过程，形成教与学的正向反馈。</w:t>
            </w:r>
          </w:p>
          <w:p>
            <w:pPr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3.课程建设过程中，不断完善课程考核评价机制，有效反思课程建设经验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及时修正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不足，教学诊断改进积极有效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应用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效果</w:t>
            </w: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教学效果与反馈</w:t>
            </w:r>
          </w:p>
        </w:tc>
        <w:tc>
          <w:tcPr>
            <w:tcW w:w="5911" w:type="dxa"/>
            <w:vAlign w:val="center"/>
          </w:tcPr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学生适应在线学习方式，可以有效开展个性化学习与合作学习，对课程的参与度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高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、学习获得感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，学习效果好。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2.教师具有较强的信息化教学能力，教学团队配合默契，带动其他教育教学改革取得实质性成果。</w:t>
            </w:r>
          </w:p>
          <w:p>
            <w:pPr>
              <w:pStyle w:val="17"/>
              <w:widowControl/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3.学生对教师教学以及课程的满意度较高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19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技术支持与服务</w:t>
            </w:r>
          </w:p>
        </w:tc>
        <w:tc>
          <w:tcPr>
            <w:tcW w:w="5911" w:type="dxa"/>
            <w:vAlign w:val="center"/>
          </w:tcPr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1.各类教学资源应用充分，活跃用户数占课程注册使用人数的比例较高。</w:t>
            </w:r>
          </w:p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2.在线课程教学管理责任有效落实，有效防范在线刷课、替课、刷考、替考行为。</w:t>
            </w:r>
          </w:p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3.课程平台能够保障信息安全，能够在多种终端上运行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同时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满足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开放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用户身份数据、课程访问数据、学习行为数据以及相关运行数据等监管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要求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19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课程示范与引领</w:t>
            </w:r>
          </w:p>
        </w:tc>
        <w:tc>
          <w:tcPr>
            <w:tcW w:w="5911" w:type="dxa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1.在教学和课程改革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方面与同类课程相比优势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明显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，具有推广价值。</w:t>
            </w:r>
          </w:p>
          <w:p>
            <w:pPr>
              <w:widowControl/>
              <w:rPr>
                <w:rFonts w:hint="eastAsia" w:ascii="Times New Roman" w:hAnsi="Times New Roman" w:eastAsia="仿宋_GB2312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2.面向其他院校学生、企业员工和社会学习者开放学习，可供其他院校教师教学引用，用户使用活跃度高，应用效果良好、社会影响力大，认可度高</w:t>
            </w: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课程创新</w:t>
            </w:r>
          </w:p>
        </w:tc>
        <w:tc>
          <w:tcPr>
            <w:tcW w:w="716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充分彰显职业教育类型特征，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</w:rPr>
              <w:t>体现专业数字化转型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要求，能够较好解决职业教育教学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痛点难点问题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课程与教学改革理念具有原创性、教学实践效果显著，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在落实课程思政、优化教学内容、创新教学模式、改进教学评价、运用信息技术等方面创新明显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</w:tbl>
    <w:p>
      <w:pPr>
        <w:rPr>
          <w:rFonts w:ascii="Times New Roman" w:hAnsi="Times New Roman" w:eastAsia="黑体"/>
          <w:kern w:val="0"/>
          <w:sz w:val="28"/>
          <w:szCs w:val="28"/>
        </w:rPr>
      </w:pPr>
    </w:p>
    <w:sectPr>
      <w:footerReference r:id="rId5" w:type="first"/>
      <w:headerReference r:id="rId3" w:type="default"/>
      <w:footerReference r:id="rId4" w:type="default"/>
      <w:pgSz w:w="11906" w:h="16838"/>
      <w:pgMar w:top="1440" w:right="1800" w:bottom="1440" w:left="1800" w:header="851" w:footer="1417" w:gutter="0"/>
      <w:pgNumType w:fmt="decimal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3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D8XU6tAQAAUAMAAA4AAABkcnMv&#10;ZTJvRG9jLnhtbK1TzY7TMBC+I/EOlu80aQ6oiuqudrVahIQAaeEBXGfcWPKfbLdJXwDegBMX7jxX&#10;n4Oxk3QXuCEuk/nzN/PNTLY3o9HkBCEqZxldr2pKwArXKXtg9POnh1cbSmLituPaWWD0DJHe7F6+&#10;2A6+hcb1TncQCILY2A6e0T4l31ZVFD0YHlfOg8WgdMHwhGY4VF3gA6IbXTV1/boaXOh8cAJiRO/9&#10;FKS7gi8liPRBygiJaEaxt1RkKHKfZbXb8vYQuO+VmNvg/9CF4cpi0SvUPU+cHIP6C8ooEVx0Mq2E&#10;M5WTUgkoHJDNuv6DzWPPPRQuOJzor2OK/w9WvD99DER1jDaUWG5wRZdvXy/ff15+fCFNHs/gY4tZ&#10;jx7z0njnRkZTOMISiujPxEcZTP4iJYIpOOvzdb4wJiLQud40m02NIYGxxcAS1dNzH2J6A86QrDAa&#10;cIFlrvz0LqYpdUnJ1ax7UFqXJWr7mwMxJw+UK5hfZzJTx1lL436cGe5dd0aCA14CoxZPlRL91uKg&#10;89EsSliU/azkitHfHhO2UbrLqBMUssoGrq3wm08s38Vzu2Q9/Qi7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BYAAABkcnMvUEsBAhQAFAAA&#10;AAgAh07iQM6pebnPAAAABQEAAA8AAAAAAAAAAQAgAAAAOAAAAGRycy9kb3ducmV2LnhtbFBLAQIU&#10;ABQAAAAIAIdO4kBQ/F1OrQEAAFADAAAOAAAAAAAAAAEAIAAAADQ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HFBrmyQIAAOwFAAAOAAAAZHJz&#10;L2Uyb0RvYy54bWytVM2O0zAQviPxDpbv2SRttptUm666zQYhVexKC+LsOk4T4diW7f4siCu8AScu&#10;3HmufQ7GbtPuLgghoAd3nBnPzPfNz/nFtuNozbRppchxfBJhxASVVSuWOX7zugxSjIwloiJcCpbj&#10;O2bwxeT5s/ONGrOBbCSvmEbgRJjxRuW4sVaNw9DQhnXEnEjFBChrqTti4aqXYaXJBrx3PBxE0Sjc&#10;SF0pLSkzBr4WOyWeeP91zai9rmvDLOI5htysP7U/F+4MJ+dkvNRENS3dp0H+IouOtAKCHlwVxBK0&#10;0u1PrrqWamlkbU+o7EJZ1y1lHgOgiaMnaG4bopjHAuQYdaDJ/D+39NX6RqO2yvEQI0E6KNH9l8/3&#10;X7/ff/uEho6ejTJjsLpVYGe3l3KbY6tXrFcZ+O6Ab2vduX+AhMAEuL478Mu2FlH4GKeDNI1ARUHX&#10;XyBEeHyutLEvmOyQE3KsoYCeV7KeG7sz7U1cNCHLlnNfRC7QJsej4WnkHxw04JwLZwtZgI+9tCvO&#10;hyzKrtKrNAmSwegqSKKiCKblLAlGZXx2WgyL2ayIPzp/cTJu2qpiwsXrGyVO/qwQ+5bdlfjQKkby&#10;tnLuXEpGLxczrtGaQKOW/ucYhuQfmIWP0/BqQPUEUjxIostBFpSj9CxIyuQ0yM6iNIji7DIbRUmW&#10;FOVjSPNWsH+H9Ij9B0mTsSvYAduCE/rut9BcOkdowEBfuNC14q7fnGS3iy1Q5MSFrO6gPbXczbdR&#10;tGwh6JwYe0M0DDT0HCwpew1HzSX0idxLGDVSv//Vd2cP5QUtRhtYEDkWsMEw4i8FzJ/bJb2ge2HR&#10;C2LVzSQUMoblp6gX4YG2vBdrLbu3sLmmLkZNuAHHRFCIBtPVizMLt70SNiBl0+nhvlK6XTbHx7BN&#10;FLFzcavofj59V6npysKI+Mk5EgXsugusFM/zfv25nfXw7q2OS3ry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BYAAABkcnMvUEsBAhQAFAAA&#10;AAgAh07iQLNJWO7QAAAABQEAAA8AAAAAAAAAAQAgAAAAOAAAAGRycy9kb3ducmV2LnhtbFBLAQIU&#10;ABQAAAAIAIdO4kAHFBrmyQIAAOwFAAAOAAAAAAAAAAEAIAAAADUBAABkcnMvZTJvRG9jLnhtbFBL&#10;BQYAAAAABgAGAFkBAABw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2BC1F9"/>
    <w:multiLevelType w:val="multilevel"/>
    <w:tmpl w:val="022BC1F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lvlText w:val="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3）."/>
      <w:lvlJc w:val="left"/>
      <w:pPr>
        <w:tabs>
          <w:tab w:val="left" w:pos="1234"/>
        </w:tabs>
        <w:ind w:left="1234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MDI5MDQzNzQ4NDUyNDNjNDRmZTRmZDdmZWNiNzgifQ=="/>
    <w:docVar w:name="KSO_WPS_MARK_KEY" w:val="cf10db0a-a246-4e5e-956b-53c70147d7ea"/>
  </w:docVars>
  <w:rsids>
    <w:rsidRoot w:val="49CB5D72"/>
    <w:rsid w:val="00011E26"/>
    <w:rsid w:val="00017F47"/>
    <w:rsid w:val="00097966"/>
    <w:rsid w:val="001869BC"/>
    <w:rsid w:val="001E59FC"/>
    <w:rsid w:val="001F6388"/>
    <w:rsid w:val="001F7F44"/>
    <w:rsid w:val="00201AC2"/>
    <w:rsid w:val="00234B53"/>
    <w:rsid w:val="00330846"/>
    <w:rsid w:val="00355335"/>
    <w:rsid w:val="003A0AE7"/>
    <w:rsid w:val="00460FD9"/>
    <w:rsid w:val="00483918"/>
    <w:rsid w:val="004A4E83"/>
    <w:rsid w:val="004A5E9F"/>
    <w:rsid w:val="0054605D"/>
    <w:rsid w:val="0056497F"/>
    <w:rsid w:val="005775B9"/>
    <w:rsid w:val="0062161A"/>
    <w:rsid w:val="00652A0C"/>
    <w:rsid w:val="006F44D3"/>
    <w:rsid w:val="00726BC9"/>
    <w:rsid w:val="007B3C5C"/>
    <w:rsid w:val="00805874"/>
    <w:rsid w:val="0082667E"/>
    <w:rsid w:val="008A3FB6"/>
    <w:rsid w:val="008F6BD0"/>
    <w:rsid w:val="00975AE0"/>
    <w:rsid w:val="00A02D7B"/>
    <w:rsid w:val="00A81EA4"/>
    <w:rsid w:val="00AA4FA5"/>
    <w:rsid w:val="00AC37FE"/>
    <w:rsid w:val="00AF6469"/>
    <w:rsid w:val="00AF7EA9"/>
    <w:rsid w:val="00B06CAA"/>
    <w:rsid w:val="00B3406A"/>
    <w:rsid w:val="00B62F03"/>
    <w:rsid w:val="00BC11A2"/>
    <w:rsid w:val="00BF7BD2"/>
    <w:rsid w:val="00C14755"/>
    <w:rsid w:val="00CB1FC3"/>
    <w:rsid w:val="00CB46C1"/>
    <w:rsid w:val="00CE77F7"/>
    <w:rsid w:val="00D83ADC"/>
    <w:rsid w:val="00DA2A5D"/>
    <w:rsid w:val="00E2285D"/>
    <w:rsid w:val="00E41E2F"/>
    <w:rsid w:val="00F350E0"/>
    <w:rsid w:val="00FA0064"/>
    <w:rsid w:val="00FB53FA"/>
    <w:rsid w:val="020826AC"/>
    <w:rsid w:val="02B14890"/>
    <w:rsid w:val="036303A2"/>
    <w:rsid w:val="05300E9B"/>
    <w:rsid w:val="084F74AA"/>
    <w:rsid w:val="0A527A89"/>
    <w:rsid w:val="0B426468"/>
    <w:rsid w:val="0C6F1240"/>
    <w:rsid w:val="0E3A54E8"/>
    <w:rsid w:val="112461CF"/>
    <w:rsid w:val="159F078C"/>
    <w:rsid w:val="176462D0"/>
    <w:rsid w:val="18973ABB"/>
    <w:rsid w:val="18FB0EA9"/>
    <w:rsid w:val="1A9B5E86"/>
    <w:rsid w:val="1D7208BD"/>
    <w:rsid w:val="24C70F69"/>
    <w:rsid w:val="250B1E26"/>
    <w:rsid w:val="25137E21"/>
    <w:rsid w:val="262E77F0"/>
    <w:rsid w:val="26912C1C"/>
    <w:rsid w:val="27A8172A"/>
    <w:rsid w:val="298507C6"/>
    <w:rsid w:val="2B2226F5"/>
    <w:rsid w:val="2BED08F1"/>
    <w:rsid w:val="37597D2D"/>
    <w:rsid w:val="38B816DE"/>
    <w:rsid w:val="3AB05F35"/>
    <w:rsid w:val="3C5A3EB8"/>
    <w:rsid w:val="3D37325E"/>
    <w:rsid w:val="3E5F72B3"/>
    <w:rsid w:val="406078CC"/>
    <w:rsid w:val="412E2655"/>
    <w:rsid w:val="49CB5D72"/>
    <w:rsid w:val="49DC5046"/>
    <w:rsid w:val="4A630034"/>
    <w:rsid w:val="4CB40BE6"/>
    <w:rsid w:val="4E50267E"/>
    <w:rsid w:val="4F59374B"/>
    <w:rsid w:val="53D74A85"/>
    <w:rsid w:val="5478427C"/>
    <w:rsid w:val="55041AB8"/>
    <w:rsid w:val="57EE2D65"/>
    <w:rsid w:val="5BCF5B83"/>
    <w:rsid w:val="5D77E98A"/>
    <w:rsid w:val="62E63ABE"/>
    <w:rsid w:val="6857614A"/>
    <w:rsid w:val="6C857D33"/>
    <w:rsid w:val="6C86405F"/>
    <w:rsid w:val="72F53670"/>
    <w:rsid w:val="73A1619F"/>
    <w:rsid w:val="73A6416E"/>
    <w:rsid w:val="746F7452"/>
    <w:rsid w:val="7473579E"/>
    <w:rsid w:val="76D66058"/>
    <w:rsid w:val="79782905"/>
    <w:rsid w:val="7B7DA649"/>
    <w:rsid w:val="7C0F6FCD"/>
    <w:rsid w:val="7EE136C3"/>
    <w:rsid w:val="7FAF3B0F"/>
    <w:rsid w:val="DBDC6089"/>
    <w:rsid w:val="FF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120" w:after="120" w:line="300" w:lineRule="auto"/>
      <w:ind w:left="0" w:firstLine="0"/>
      <w:outlineLvl w:val="1"/>
    </w:pPr>
    <w:rPr>
      <w:rFonts w:ascii="Arial" w:hAnsi="Arial" w:eastAsia="黑体"/>
      <w:bCs/>
      <w:sz w:val="36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0"/>
    <w:qFormat/>
    <w:uiPriority w:val="0"/>
    <w:pPr>
      <w:jc w:val="left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/>
      <w:sz w:val="2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9">
    <w:name w:val="annotation subject"/>
    <w:basedOn w:val="4"/>
    <w:next w:val="4"/>
    <w:link w:val="21"/>
    <w:qFormat/>
    <w:uiPriority w:val="0"/>
    <w:rPr>
      <w:b/>
      <w:bCs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  <w:rPr>
      <w:rFonts w:ascii="Times New Roman" w:hAnsi="Times New Roman" w:eastAsia="宋体"/>
      <w:sz w:val="28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页脚 字符"/>
    <w:basedOn w:val="12"/>
    <w:link w:val="6"/>
    <w:qFormat/>
    <w:uiPriority w:val="99"/>
    <w:rPr>
      <w:rFonts w:ascii="Times New Roman" w:hAnsi="Times New Roman" w:eastAsia="宋体" w:cs="Times New Roman"/>
      <w:kern w:val="2"/>
      <w:sz w:val="2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列表段落1"/>
    <w:basedOn w:val="1"/>
    <w:qFormat/>
    <w:uiPriority w:val="34"/>
    <w:pPr>
      <w:ind w:firstLine="420" w:firstLineChars="200"/>
    </w:pPr>
  </w:style>
  <w:style w:type="character" w:customStyle="1" w:styleId="19">
    <w:name w:val="批注框文本 字符"/>
    <w:basedOn w:val="12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0">
    <w:name w:val="批注文字 字符"/>
    <w:basedOn w:val="12"/>
    <w:link w:val="4"/>
    <w:qFormat/>
    <w:uiPriority w:val="0"/>
    <w:rPr>
      <w:rFonts w:ascii="Calibri" w:hAnsi="Calibri" w:eastAsia="宋体" w:cs="Times New Roman"/>
      <w:kern w:val="2"/>
      <w:sz w:val="21"/>
      <w:szCs w:val="22"/>
    </w:rPr>
  </w:style>
  <w:style w:type="character" w:customStyle="1" w:styleId="21">
    <w:name w:val="批注主题 字符"/>
    <w:basedOn w:val="20"/>
    <w:link w:val="9"/>
    <w:qFormat/>
    <w:uiPriority w:val="0"/>
    <w:rPr>
      <w:rFonts w:ascii="Calibri" w:hAnsi="Calibri" w:eastAsia="宋体" w:cs="Times New Roman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2751</Words>
  <Characters>2797</Characters>
  <Lines>19</Lines>
  <Paragraphs>5</Paragraphs>
  <TotalTime>43</TotalTime>
  <ScaleCrop>false</ScaleCrop>
  <LinksUpToDate>false</LinksUpToDate>
  <CharactersWithSpaces>2797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2021-12-07T10:10:00Z</dcterms:created>
  <dc:creator>程智宾</dc:creator>
  <cp:lastModifiedBy>huawei</cp:lastModifiedBy>
  <cp:lastPrinted>2023-12-28T00:31:00Z</cp:lastPrinted>
  <dcterms:modified xsi:type="dcterms:W3CDTF">2024-07-08T15:03:02Z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77916579194D4EB48DE1C703CE2EB4CC_13</vt:lpwstr>
  </property>
</Properties>
</file>